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3E" w:rsidRPr="00DD7B3E" w:rsidRDefault="00DD7B3E" w:rsidP="00DD7B3E">
      <w:pPr>
        <w:spacing w:before="100" w:beforeAutospacing="1" w:after="100" w:afterAutospacing="1"/>
        <w:contextualSpacing w:val="0"/>
        <w:outlineLvl w:val="2"/>
        <w:rPr>
          <w:rFonts w:ascii="Verdana" w:eastAsia="Times New Roman" w:hAnsi="Verdana" w:cs="Times New Roman"/>
          <w:b/>
          <w:bCs/>
          <w:sz w:val="27"/>
          <w:szCs w:val="27"/>
        </w:rPr>
      </w:pPr>
      <w:r w:rsidRPr="00DD7B3E">
        <w:rPr>
          <w:rFonts w:ascii="Verdana" w:eastAsia="Times New Roman" w:hAnsi="Verdana" w:cs="Times New Roman"/>
          <w:b/>
          <w:bCs/>
          <w:sz w:val="27"/>
          <w:szCs w:val="27"/>
        </w:rPr>
        <w:t xml:space="preserve">Section 215 -- Validity of Contracts </w:t>
      </w:r>
    </w:p>
    <w:p w:rsidR="00DD7B3E" w:rsidRPr="00DD7B3E" w:rsidRDefault="00DD7B3E" w:rsidP="00DD7B3E">
      <w:pPr>
        <w:spacing w:before="100" w:beforeAutospacing="1" w:after="100" w:afterAutospacing="1"/>
        <w:contextualSpacing w:val="0"/>
        <w:outlineLvl w:val="2"/>
        <w:rPr>
          <w:rFonts w:ascii="Verdana" w:eastAsia="Times New Roman" w:hAnsi="Verdana" w:cs="Times New Roman"/>
          <w:b/>
          <w:bCs/>
          <w:sz w:val="27"/>
          <w:szCs w:val="27"/>
        </w:rPr>
      </w:pPr>
      <w:r w:rsidRPr="00DD7B3E">
        <w:rPr>
          <w:rFonts w:ascii="Verdana" w:eastAsia="Times New Roman" w:hAnsi="Verdana" w:cs="Times New Roman"/>
          <w:b/>
          <w:bCs/>
          <w:sz w:val="27"/>
          <w:szCs w:val="27"/>
        </w:rPr>
        <w:pict>
          <v:rect id="_x0000_i1025" style="width:0;height:1.5pt" o:hralign="center" o:hrstd="t" o:hr="t" fillcolor="gray" stroked="f"/>
        </w:pict>
      </w:r>
    </w:p>
    <w:p w:rsidR="00DD7B3E" w:rsidRPr="00DD7B3E" w:rsidRDefault="00DD7B3E" w:rsidP="00DD7B3E">
      <w:pPr>
        <w:contextualSpacing w:val="0"/>
        <w:rPr>
          <w:rFonts w:ascii="Verdana" w:eastAsia="Times New Roman" w:hAnsi="Verdana" w:cs="Times New Roman"/>
          <w:sz w:val="18"/>
          <w:szCs w:val="18"/>
        </w:rPr>
      </w:pPr>
      <w:r>
        <w:rPr>
          <w:rFonts w:ascii="Verdana" w:eastAsia="Times New Roman" w:hAnsi="Verdana" w:cs="Times New Roman"/>
          <w:sz w:val="18"/>
          <w:szCs w:val="18"/>
        </w:rPr>
        <w:t>Investment Advisors Act of 1940 – Section 215 Validity of Contracts</w:t>
      </w:r>
      <w:bookmarkStart w:id="0" w:name="_GoBack"/>
      <w:bookmarkEnd w:id="0"/>
    </w:p>
    <w:p w:rsidR="00DD7B3E" w:rsidRPr="00DD7B3E" w:rsidRDefault="00DD7B3E" w:rsidP="00DD7B3E">
      <w:pPr>
        <w:numPr>
          <w:ilvl w:val="0"/>
          <w:numId w:val="1"/>
        </w:numPr>
        <w:spacing w:before="100" w:beforeAutospacing="1" w:after="240"/>
        <w:ind w:left="1170"/>
        <w:contextualSpacing w:val="0"/>
        <w:rPr>
          <w:rFonts w:ascii="Verdana" w:eastAsia="Times New Roman" w:hAnsi="Verdana" w:cs="Times New Roman"/>
          <w:sz w:val="18"/>
          <w:szCs w:val="18"/>
        </w:rPr>
      </w:pPr>
      <w:bookmarkStart w:id="1" w:name="a"/>
      <w:bookmarkEnd w:id="1"/>
      <w:r w:rsidRPr="00DD7B3E">
        <w:rPr>
          <w:rFonts w:ascii="Verdana" w:eastAsia="Times New Roman" w:hAnsi="Verdana" w:cs="Times New Roman"/>
          <w:b/>
          <w:bCs/>
          <w:sz w:val="18"/>
          <w:szCs w:val="18"/>
        </w:rPr>
        <w:t>Waiver of compliance as void.</w:t>
      </w:r>
      <w:r w:rsidRPr="00DD7B3E">
        <w:rPr>
          <w:rFonts w:ascii="Verdana" w:eastAsia="Times New Roman" w:hAnsi="Verdana" w:cs="Times New Roman"/>
          <w:sz w:val="18"/>
          <w:szCs w:val="18"/>
        </w:rPr>
        <w:t xml:space="preserve"> Any condition, stipulation, or provision binding any person to waive compliance with any provision of this title or with any rule, regulation, or order thereunder shall be void.</w:t>
      </w:r>
    </w:p>
    <w:p w:rsidR="00DD7B3E" w:rsidRPr="00DD7B3E" w:rsidRDefault="00DD7B3E" w:rsidP="00DD7B3E">
      <w:pPr>
        <w:numPr>
          <w:ilvl w:val="0"/>
          <w:numId w:val="1"/>
        </w:numPr>
        <w:spacing w:before="100" w:beforeAutospacing="1" w:after="240"/>
        <w:ind w:left="1170"/>
        <w:contextualSpacing w:val="0"/>
        <w:rPr>
          <w:rFonts w:ascii="Verdana" w:eastAsia="Times New Roman" w:hAnsi="Verdana" w:cs="Times New Roman"/>
          <w:sz w:val="18"/>
          <w:szCs w:val="18"/>
        </w:rPr>
      </w:pPr>
      <w:bookmarkStart w:id="2" w:name="b"/>
      <w:bookmarkEnd w:id="2"/>
      <w:r w:rsidRPr="00DD7B3E">
        <w:rPr>
          <w:rFonts w:ascii="Verdana" w:eastAsia="Times New Roman" w:hAnsi="Verdana" w:cs="Times New Roman"/>
          <w:b/>
          <w:bCs/>
          <w:sz w:val="18"/>
          <w:szCs w:val="18"/>
        </w:rPr>
        <w:t>Rights affected by invalidity.</w:t>
      </w:r>
      <w:r w:rsidRPr="00DD7B3E">
        <w:rPr>
          <w:rFonts w:ascii="Verdana" w:eastAsia="Times New Roman" w:hAnsi="Verdana" w:cs="Times New Roman"/>
          <w:sz w:val="18"/>
          <w:szCs w:val="18"/>
        </w:rPr>
        <w:t xml:space="preserve"> Every contract made in violation of any provision of this title and every contract heretofore or hereafter made, the performance of which involves the violation of, or the continuance of any relationship or practice in violation of any provision of this title, or any rule, regulation, or order thereunder, shall be void (1) as regards the rights of any person who, in violation of any such provision, rule, regulation, or order, shall have made or engaged in the performance of any such contract, and (2) as regards the rights of any person who, not being a party to such contract, shall have acquired any right thereunder with actual knowledge of the facts by reason of which the making or performance of such contract was in violation of any such provision.</w:t>
      </w:r>
    </w:p>
    <w:p w:rsidR="00DD7B3E" w:rsidRPr="00DD7B3E" w:rsidRDefault="00DD7B3E" w:rsidP="00DD7B3E">
      <w:pPr>
        <w:contextualSpacing w:val="0"/>
        <w:rPr>
          <w:rFonts w:ascii="Verdana" w:eastAsia="Times New Roman" w:hAnsi="Verdana" w:cs="Times New Roman"/>
          <w:sz w:val="18"/>
          <w:szCs w:val="18"/>
        </w:rPr>
      </w:pPr>
      <w:r w:rsidRPr="00DD7B3E">
        <w:rPr>
          <w:rFonts w:ascii="Verdana" w:eastAsia="Times New Roman" w:hAnsi="Verdana" w:cs="Times New Roman"/>
          <w:sz w:val="18"/>
          <w:szCs w:val="18"/>
        </w:rPr>
        <w:pict>
          <v:rect id="_x0000_i1026" style="width:0;height:1.5pt" o:hralign="center" o:hrstd="t" o:hr="t" fillcolor="gray" stroked="f"/>
        </w:pict>
      </w:r>
    </w:p>
    <w:p w:rsidR="00A27113" w:rsidRDefault="00A27113"/>
    <w:sectPr w:rsidR="00A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EC9"/>
    <w:multiLevelType w:val="multilevel"/>
    <w:tmpl w:val="EA1E3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3E"/>
    <w:rsid w:val="00A27113"/>
    <w:rsid w:val="00C068C0"/>
    <w:rsid w:val="00C2314C"/>
    <w:rsid w:val="00DD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DD7B3E"/>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B3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contextualSpacing/>
    </w:pPr>
  </w:style>
  <w:style w:type="paragraph" w:styleId="Heading3">
    <w:name w:val="heading 3"/>
    <w:basedOn w:val="Normal"/>
    <w:link w:val="Heading3Char"/>
    <w:uiPriority w:val="9"/>
    <w:qFormat/>
    <w:rsid w:val="00DD7B3E"/>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B3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4103">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Fallon-Houle, Nancy</dc:creator>
  <cp:lastModifiedBy>Fallon-Houle, Nancy</cp:lastModifiedBy>
  <cp:revision>1</cp:revision>
  <dcterms:created xsi:type="dcterms:W3CDTF">2011-06-21T00:30:00Z</dcterms:created>
  <dcterms:modified xsi:type="dcterms:W3CDTF">2011-06-21T00:31:00Z</dcterms:modified>
</cp:coreProperties>
</file>